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r>
        <w:rPr>
          <w:rStyle w:val="Gl"/>
          <w:rFonts w:ascii="Tahoma" w:hAnsi="Tahoma" w:cs="Tahoma"/>
          <w:color w:val="000000"/>
          <w:sz w:val="29"/>
          <w:szCs w:val="29"/>
        </w:rPr>
        <w:t>Misyonumuz:</w:t>
      </w:r>
    </w:p>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proofErr w:type="gramStart"/>
      <w:r>
        <w:rPr>
          <w:rFonts w:ascii="Tahoma" w:hAnsi="Tahoma" w:cs="Tahoma"/>
          <w:color w:val="000000"/>
          <w:sz w:val="29"/>
          <w:szCs w:val="29"/>
        </w:rPr>
        <w:t>Uluslararası kalite standartları çerçevesinde yeniliğe açık, akılcı, şeffaf ve dinamik bir yönetim anlayışı ile üniversite kaynaklarının etkin ve verimli bir biçimde kullanılmasını mümkün kılmak, gelir oluşumuna katkıda bulunan tüm üniversite birimleriyle eşgüdüm içerisinde hareket etmek suretiyle döner sermaye gelirlerinin sürekli olarak artırılmasını ve katkı paylaşımlarının mevzuata uygun ve adil bir şekilde gerçekleştirilmesini sağlayarak toplum refahına katkıda bulunmak.</w:t>
      </w:r>
      <w:proofErr w:type="gramEnd"/>
    </w:p>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r>
        <w:rPr>
          <w:rFonts w:ascii="Tahoma" w:hAnsi="Tahoma" w:cs="Tahoma"/>
          <w:color w:val="000000"/>
          <w:sz w:val="29"/>
          <w:szCs w:val="29"/>
        </w:rPr>
        <w:t> </w:t>
      </w:r>
    </w:p>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r>
        <w:rPr>
          <w:rFonts w:ascii="Tahoma" w:hAnsi="Tahoma" w:cs="Tahoma"/>
          <w:color w:val="000000"/>
          <w:sz w:val="29"/>
          <w:szCs w:val="29"/>
        </w:rPr>
        <w:t> </w:t>
      </w:r>
    </w:p>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r>
        <w:rPr>
          <w:rStyle w:val="Gl"/>
          <w:rFonts w:ascii="Tahoma" w:hAnsi="Tahoma" w:cs="Tahoma"/>
          <w:color w:val="000000"/>
          <w:sz w:val="29"/>
          <w:szCs w:val="29"/>
        </w:rPr>
        <w:t>Vizyonumuz:</w:t>
      </w:r>
    </w:p>
    <w:p w:rsidR="002F128E" w:rsidRDefault="002F128E" w:rsidP="002F128E">
      <w:pPr>
        <w:pStyle w:val="NormalWeb"/>
        <w:shd w:val="clear" w:color="auto" w:fill="FFFFFF"/>
        <w:spacing w:before="75" w:beforeAutospacing="0" w:after="75" w:afterAutospacing="0"/>
        <w:ind w:left="150" w:right="150" w:firstLine="150"/>
        <w:jc w:val="both"/>
        <w:rPr>
          <w:rFonts w:ascii="Tahoma" w:hAnsi="Tahoma" w:cs="Tahoma"/>
          <w:color w:val="000000"/>
          <w:sz w:val="29"/>
          <w:szCs w:val="29"/>
        </w:rPr>
      </w:pPr>
      <w:proofErr w:type="gramStart"/>
      <w:r>
        <w:rPr>
          <w:rFonts w:ascii="Tahoma" w:hAnsi="Tahoma" w:cs="Tahoma"/>
          <w:color w:val="000000"/>
          <w:sz w:val="29"/>
          <w:szCs w:val="29"/>
        </w:rPr>
        <w:t>Üniversitemizin belirlediği kurallar çerçevesinde kendini sürekli geliştirerek çağdaş kalmayı başarabilen, sosyal sorumluluğunun bilincinde olarak sorumluluk almaktan kaçınmayan, topluma ve etik değerlere saygılı, sunduğu nitelikli ve kaliteli hizmetlerle toplum için katma değer üreten, paydaşlarla sürekli ve etkin iletişim içerisinde bulunan, kaynakların kamu yararını gözetecek şekilde etkin ve verimli kullanılmasını sağlayan saygın ve güvenilir bir birim olmak.</w:t>
      </w:r>
      <w:proofErr w:type="gramEnd"/>
    </w:p>
    <w:p w:rsidR="004A42F1" w:rsidRDefault="004A42F1">
      <w:bookmarkStart w:id="0" w:name="_GoBack"/>
      <w:bookmarkEnd w:id="0"/>
    </w:p>
    <w:sectPr w:rsidR="004A4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D46"/>
    <w:rsid w:val="002F128E"/>
    <w:rsid w:val="004A42F1"/>
    <w:rsid w:val="009E7D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B41B4-FBF5-4B5C-A7B2-6EA1FE78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F12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F1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28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Company>By NeC ® 2010 | Katilimsiz.Com</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2020-01-02T08:33:00Z</dcterms:created>
  <dcterms:modified xsi:type="dcterms:W3CDTF">2020-01-02T08:34:00Z</dcterms:modified>
</cp:coreProperties>
</file>